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C5" w:rsidRPr="00F613EA" w:rsidRDefault="00AF40C5" w:rsidP="00AF40C5">
      <w:pPr>
        <w:rPr>
          <w:rFonts w:ascii="Times New Roman" w:hAnsi="Times New Roman" w:cs="Times New Roman"/>
          <w:b/>
          <w:sz w:val="44"/>
          <w:szCs w:val="44"/>
        </w:rPr>
      </w:pPr>
      <w:r w:rsidRPr="00F613EA">
        <w:rPr>
          <w:rFonts w:ascii="Times New Roman" w:hAnsi="Times New Roman" w:cs="Times New Roman"/>
          <w:b/>
          <w:sz w:val="44"/>
          <w:szCs w:val="44"/>
        </w:rPr>
        <w:t xml:space="preserve">The Universality of </w:t>
      </w:r>
      <w:bookmarkStart w:id="0" w:name="_GoBack"/>
      <w:bookmarkEnd w:id="0"/>
      <w:r w:rsidRPr="00F613EA">
        <w:rPr>
          <w:rFonts w:ascii="Times New Roman" w:hAnsi="Times New Roman" w:cs="Times New Roman"/>
          <w:b/>
          <w:sz w:val="44"/>
          <w:szCs w:val="44"/>
        </w:rPr>
        <w:t>Acid Catalysis</w:t>
      </w:r>
    </w:p>
    <w:p w:rsidR="00F613EA" w:rsidRPr="008516A5" w:rsidRDefault="00F613EA" w:rsidP="00AF40C5">
      <w:pPr>
        <w:rPr>
          <w:rFonts w:ascii="Times New Roman" w:hAnsi="Times New Roman" w:cs="Times New Roman"/>
          <w:i/>
        </w:rPr>
      </w:pPr>
      <w:r w:rsidRPr="008516A5">
        <w:rPr>
          <w:rFonts w:ascii="Times New Roman" w:hAnsi="Times New Roman" w:cs="Times New Roman"/>
          <w:i/>
        </w:rPr>
        <w:t>Ben List</w:t>
      </w:r>
    </w:p>
    <w:p w:rsidR="008516A5" w:rsidRDefault="008516A5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AF40C5" w:rsidRPr="00F613EA" w:rsidRDefault="00AF40C5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F613EA">
        <w:rPr>
          <w:sz w:val="22"/>
          <w:szCs w:val="22"/>
          <w:lang w:val="en-US"/>
        </w:rPr>
        <w:t>Acid catalysis only requires the presence of electron density</w:t>
      </w:r>
      <w:r w:rsidR="005D634D" w:rsidRPr="00F613EA">
        <w:rPr>
          <w:sz w:val="22"/>
          <w:szCs w:val="22"/>
          <w:lang w:val="en-US"/>
        </w:rPr>
        <w:t xml:space="preserve"> in its substrates</w:t>
      </w:r>
      <w:r w:rsidRPr="00F613EA">
        <w:rPr>
          <w:sz w:val="22"/>
          <w:szCs w:val="22"/>
          <w:lang w:val="en-US"/>
        </w:rPr>
        <w:t xml:space="preserve"> and one can therefore argue that it is the most general approach to catalysis there is.</w:t>
      </w:r>
    </w:p>
    <w:p w:rsidR="00AF40C5" w:rsidRPr="00F613EA" w:rsidRDefault="00AF40C5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F613EA" w:rsidRDefault="00AF40C5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F613EA">
        <w:rPr>
          <w:sz w:val="22"/>
          <w:szCs w:val="22"/>
          <w:lang w:val="en-US"/>
        </w:rPr>
        <w:t xml:space="preserve">The concept of using chiral, enantiomerically pure </w:t>
      </w:r>
      <w:proofErr w:type="spellStart"/>
      <w:r w:rsidRPr="00F613EA">
        <w:rPr>
          <w:sz w:val="22"/>
          <w:szCs w:val="22"/>
          <w:lang w:val="en-US"/>
        </w:rPr>
        <w:t>Brønsted</w:t>
      </w:r>
      <w:proofErr w:type="spellEnd"/>
      <w:r w:rsidRPr="00F613EA">
        <w:rPr>
          <w:sz w:val="22"/>
          <w:szCs w:val="22"/>
          <w:lang w:val="en-US"/>
        </w:rPr>
        <w:t xml:space="preserve"> acids </w:t>
      </w:r>
      <w:r w:rsidR="008516A5">
        <w:rPr>
          <w:sz w:val="22"/>
          <w:szCs w:val="22"/>
          <w:lang w:val="en-US"/>
        </w:rPr>
        <w:t>has led to</w:t>
      </w:r>
      <w:r w:rsidRPr="00F613EA">
        <w:rPr>
          <w:sz w:val="22"/>
          <w:szCs w:val="22"/>
          <w:lang w:val="en-US"/>
        </w:rPr>
        <w:t xml:space="preserve"> a breakthrough </w:t>
      </w:r>
      <w:r w:rsidR="008516A5">
        <w:rPr>
          <w:sz w:val="22"/>
          <w:szCs w:val="22"/>
          <w:lang w:val="en-US"/>
        </w:rPr>
        <w:t>in</w:t>
      </w:r>
      <w:r w:rsidRPr="00F613EA">
        <w:rPr>
          <w:sz w:val="22"/>
          <w:szCs w:val="22"/>
          <w:lang w:val="en-US"/>
        </w:rPr>
        <w:t xml:space="preserve"> selective catalysis</w:t>
      </w:r>
      <w:r w:rsidR="005D634D" w:rsidRPr="00F613EA">
        <w:rPr>
          <w:sz w:val="22"/>
          <w:szCs w:val="22"/>
          <w:lang w:val="en-US"/>
        </w:rPr>
        <w:t xml:space="preserve"> and suggests vast potential</w:t>
      </w:r>
      <w:r w:rsidRPr="00F613EA">
        <w:rPr>
          <w:sz w:val="22"/>
          <w:szCs w:val="22"/>
          <w:lang w:val="en-US"/>
        </w:rPr>
        <w:t xml:space="preserve">. Early asymmetric Brønsted catalysis, for example with proline or BINOL-derived phosphoric acids, </w:t>
      </w:r>
      <w:r w:rsidR="005D634D" w:rsidRPr="00F613EA">
        <w:rPr>
          <w:sz w:val="22"/>
          <w:szCs w:val="22"/>
          <w:lang w:val="en-US"/>
        </w:rPr>
        <w:t xml:space="preserve">has </w:t>
      </w:r>
      <w:r w:rsidRPr="00F613EA">
        <w:rPr>
          <w:sz w:val="22"/>
          <w:szCs w:val="22"/>
          <w:lang w:val="en-US"/>
        </w:rPr>
        <w:t>operate</w:t>
      </w:r>
      <w:r w:rsidR="005D634D" w:rsidRPr="00F613EA">
        <w:rPr>
          <w:sz w:val="22"/>
          <w:szCs w:val="22"/>
          <w:lang w:val="en-US"/>
        </w:rPr>
        <w:t>d</w:t>
      </w:r>
      <w:r w:rsidRPr="00F613EA">
        <w:rPr>
          <w:sz w:val="22"/>
          <w:szCs w:val="22"/>
          <w:lang w:val="en-US"/>
        </w:rPr>
        <w:t xml:space="preserve"> in a bifunctional mode, where </w:t>
      </w:r>
      <w:r w:rsidR="005D634D" w:rsidRPr="00F613EA">
        <w:rPr>
          <w:sz w:val="22"/>
          <w:szCs w:val="22"/>
          <w:lang w:val="en-US"/>
        </w:rPr>
        <w:t xml:space="preserve">a base-co-catalyst accompanies </w:t>
      </w:r>
      <w:r w:rsidRPr="00F613EA">
        <w:rPr>
          <w:sz w:val="22"/>
          <w:szCs w:val="22"/>
          <w:lang w:val="en-US"/>
        </w:rPr>
        <w:t xml:space="preserve">the acid. </w:t>
      </w:r>
    </w:p>
    <w:p w:rsidR="00F613EA" w:rsidRDefault="00F613EA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AF40C5" w:rsidRPr="00F613EA" w:rsidRDefault="00F613EA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F613EA">
        <w:rPr>
          <w:sz w:val="22"/>
          <w:szCs w:val="22"/>
          <w:lang w:val="en-US"/>
        </w:rPr>
        <w:t>By tuning the acidity, chemists know very well how to control the reactivity of their acid catalysts</w:t>
      </w:r>
      <w:r>
        <w:rPr>
          <w:sz w:val="22"/>
          <w:szCs w:val="22"/>
          <w:lang w:val="en-US"/>
        </w:rPr>
        <w:t xml:space="preserve"> and</w:t>
      </w:r>
      <w:r w:rsidR="005D634D" w:rsidRPr="00F613EA">
        <w:rPr>
          <w:sz w:val="22"/>
          <w:szCs w:val="22"/>
          <w:lang w:val="en-US"/>
        </w:rPr>
        <w:t xml:space="preserve"> ever more acidic catalysts are currently being developed. </w:t>
      </w:r>
      <w:r w:rsidR="00AF40C5" w:rsidRPr="00F613EA">
        <w:rPr>
          <w:sz w:val="22"/>
          <w:szCs w:val="22"/>
          <w:lang w:val="en-US"/>
        </w:rPr>
        <w:t xml:space="preserve">While BINOL-derived phosphates are frequently used, their reactivity and ability to activate less basic substrates is limited. For example, the popular phosphoric acid TRIP has a </w:t>
      </w:r>
      <w:proofErr w:type="spellStart"/>
      <w:r w:rsidR="00AF40C5" w:rsidRPr="00F613EA">
        <w:rPr>
          <w:sz w:val="22"/>
          <w:szCs w:val="22"/>
          <w:lang w:val="en-US"/>
        </w:rPr>
        <w:t>pKa</w:t>
      </w:r>
      <w:proofErr w:type="spellEnd"/>
      <w:r w:rsidR="00AF40C5" w:rsidRPr="00F613EA">
        <w:rPr>
          <w:sz w:val="22"/>
          <w:szCs w:val="22"/>
          <w:lang w:val="en-US"/>
        </w:rPr>
        <w:t xml:space="preserve"> of 13.6 in acetonitrile. This acidity is certainly sufficient to catalyze various additions to imines and also to certain </w:t>
      </w:r>
      <w:proofErr w:type="spellStart"/>
      <w:r w:rsidR="00AF40C5" w:rsidRPr="00F613EA">
        <w:rPr>
          <w:sz w:val="22"/>
          <w:szCs w:val="22"/>
          <w:lang w:val="en-US"/>
        </w:rPr>
        <w:t>oxygenous</w:t>
      </w:r>
      <w:proofErr w:type="spellEnd"/>
      <w:r w:rsidR="00AF40C5" w:rsidRPr="00F613EA">
        <w:rPr>
          <w:sz w:val="22"/>
          <w:szCs w:val="22"/>
          <w:lang w:val="en-US"/>
        </w:rPr>
        <w:t xml:space="preserve"> substrates. However, to enable activation of simple aldehydes</w:t>
      </w:r>
      <w:r>
        <w:rPr>
          <w:sz w:val="22"/>
          <w:szCs w:val="22"/>
          <w:lang w:val="en-US"/>
        </w:rPr>
        <w:t>,</w:t>
      </w:r>
      <w:r w:rsidR="00AF40C5" w:rsidRPr="00F613EA">
        <w:rPr>
          <w:sz w:val="22"/>
          <w:szCs w:val="22"/>
          <w:lang w:val="en-US"/>
        </w:rPr>
        <w:t xml:space="preserve"> for example</w:t>
      </w:r>
      <w:r>
        <w:rPr>
          <w:sz w:val="22"/>
          <w:szCs w:val="22"/>
          <w:lang w:val="en-US"/>
        </w:rPr>
        <w:t>,</w:t>
      </w:r>
      <w:r w:rsidR="00AF40C5" w:rsidRPr="00F613EA">
        <w:rPr>
          <w:sz w:val="22"/>
          <w:szCs w:val="22"/>
          <w:lang w:val="en-US"/>
        </w:rPr>
        <w:t xml:space="preserve"> requires much stronger acids. Similarly, olefin activation </w:t>
      </w:r>
      <w:r w:rsidR="00AF40C5" w:rsidRPr="00F613EA">
        <w:rPr>
          <w:i/>
          <w:sz w:val="22"/>
          <w:szCs w:val="22"/>
          <w:lang w:val="en-US"/>
        </w:rPr>
        <w:t>via</w:t>
      </w:r>
      <w:r w:rsidR="00AF40C5" w:rsidRPr="00F613EA">
        <w:rPr>
          <w:sz w:val="22"/>
          <w:szCs w:val="22"/>
          <w:lang w:val="en-US"/>
        </w:rPr>
        <w:t xml:space="preserve"> protonation has been beyond reach of this catalyst class. </w:t>
      </w:r>
    </w:p>
    <w:p w:rsidR="00F613EA" w:rsidRPr="00F613EA" w:rsidRDefault="00F613EA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5D634D" w:rsidRPr="00F613EA" w:rsidRDefault="00F613EA" w:rsidP="005D634D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F613EA">
        <w:rPr>
          <w:sz w:val="22"/>
          <w:szCs w:val="22"/>
          <w:lang w:val="en-US"/>
        </w:rPr>
        <w:t>Another</w:t>
      </w:r>
      <w:r w:rsidR="005D634D" w:rsidRPr="00F613E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major </w:t>
      </w:r>
      <w:r w:rsidR="005D634D" w:rsidRPr="00F613EA">
        <w:rPr>
          <w:sz w:val="22"/>
          <w:szCs w:val="22"/>
          <w:lang w:val="en-US"/>
        </w:rPr>
        <w:t>challenge is to make acid catalysis selective</w:t>
      </w:r>
      <w:r>
        <w:rPr>
          <w:sz w:val="22"/>
          <w:szCs w:val="22"/>
          <w:lang w:val="en-US"/>
        </w:rPr>
        <w:t>, even with small and unbiased substrates</w:t>
      </w:r>
      <w:r w:rsidR="005D634D" w:rsidRPr="00F613EA">
        <w:rPr>
          <w:sz w:val="22"/>
          <w:szCs w:val="22"/>
          <w:lang w:val="en-US"/>
        </w:rPr>
        <w:t xml:space="preserve">. This requires a good control over the ionic intermediates and transition states. </w:t>
      </w:r>
    </w:p>
    <w:p w:rsidR="005D634D" w:rsidRPr="00F613EA" w:rsidRDefault="005D634D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AF40C5" w:rsidRPr="00F613EA" w:rsidRDefault="00AF40C5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F613EA">
        <w:rPr>
          <w:sz w:val="22"/>
          <w:szCs w:val="22"/>
          <w:lang w:val="en-US"/>
        </w:rPr>
        <w:t xml:space="preserve">In 2012, we have introduced a new catalyst design, in which two phosphates are bridged </w:t>
      </w:r>
      <w:r w:rsidRPr="00F613EA">
        <w:rPr>
          <w:i/>
          <w:sz w:val="22"/>
          <w:szCs w:val="22"/>
          <w:lang w:val="en-US"/>
        </w:rPr>
        <w:t>via</w:t>
      </w:r>
      <w:r w:rsidRPr="00F613EA">
        <w:rPr>
          <w:sz w:val="22"/>
          <w:szCs w:val="22"/>
          <w:lang w:val="en-US"/>
        </w:rPr>
        <w:t xml:space="preserve"> an imido nitrogen group. The resulting </w:t>
      </w:r>
      <w:proofErr w:type="spellStart"/>
      <w:r w:rsidRPr="00F613EA">
        <w:rPr>
          <w:sz w:val="22"/>
          <w:szCs w:val="22"/>
          <w:lang w:val="en-US"/>
        </w:rPr>
        <w:t>imidodiphosphate</w:t>
      </w:r>
      <w:proofErr w:type="spellEnd"/>
      <w:r w:rsidRPr="00F613EA">
        <w:rPr>
          <w:sz w:val="22"/>
          <w:szCs w:val="22"/>
          <w:lang w:val="en-US"/>
        </w:rPr>
        <w:t xml:space="preserve"> (IDP) catalysts, because of the now four substituents in the corresponding 3- and 3’-positions, all pointing toward the active site, create significant confinement, while still displaying relatively strong acidity (</w:t>
      </w:r>
      <w:proofErr w:type="spellStart"/>
      <w:r w:rsidRPr="00F613EA">
        <w:rPr>
          <w:sz w:val="22"/>
          <w:szCs w:val="22"/>
          <w:lang w:val="en-US"/>
        </w:rPr>
        <w:t>pKa</w:t>
      </w:r>
      <w:proofErr w:type="spellEnd"/>
      <w:r w:rsidRPr="00F613EA">
        <w:rPr>
          <w:sz w:val="22"/>
          <w:szCs w:val="22"/>
          <w:lang w:val="en-US"/>
        </w:rPr>
        <w:t xml:space="preserve"> = 11.3, CH</w:t>
      </w:r>
      <w:r w:rsidRPr="00F613EA">
        <w:rPr>
          <w:sz w:val="22"/>
          <w:szCs w:val="22"/>
          <w:vertAlign w:val="subscript"/>
          <w:lang w:val="en-US"/>
        </w:rPr>
        <w:t>3</w:t>
      </w:r>
      <w:r w:rsidR="00F613EA" w:rsidRPr="00F613EA">
        <w:rPr>
          <w:sz w:val="22"/>
          <w:szCs w:val="22"/>
          <w:lang w:val="en-US"/>
        </w:rPr>
        <w:t>CN)</w:t>
      </w:r>
      <w:r w:rsidRPr="00F613EA">
        <w:rPr>
          <w:sz w:val="22"/>
          <w:szCs w:val="22"/>
          <w:lang w:val="en-US"/>
        </w:rPr>
        <w:t xml:space="preserve">. By carefully choosing appropriate substituents, the confinement can be easily fine-tuned. Furthermore, successive replacement of oxygen atoms with </w:t>
      </w:r>
      <w:proofErr w:type="spellStart"/>
      <w:r w:rsidRPr="00F613EA">
        <w:rPr>
          <w:sz w:val="22"/>
          <w:szCs w:val="22"/>
          <w:lang w:val="en-US"/>
        </w:rPr>
        <w:t>NTf</w:t>
      </w:r>
      <w:proofErr w:type="spellEnd"/>
      <w:r w:rsidRPr="00F613EA">
        <w:rPr>
          <w:sz w:val="22"/>
          <w:szCs w:val="22"/>
          <w:lang w:val="en-US"/>
        </w:rPr>
        <w:t xml:space="preserve">-groups, can massively enhance the acidity. The resulting </w:t>
      </w:r>
      <w:proofErr w:type="spellStart"/>
      <w:r w:rsidRPr="00F613EA">
        <w:rPr>
          <w:sz w:val="22"/>
          <w:szCs w:val="22"/>
          <w:lang w:val="en-US"/>
        </w:rPr>
        <w:t>imino</w:t>
      </w:r>
      <w:proofErr w:type="spellEnd"/>
      <w:r w:rsidRPr="00F613EA">
        <w:rPr>
          <w:sz w:val="22"/>
          <w:szCs w:val="22"/>
          <w:lang w:val="en-US"/>
        </w:rPr>
        <w:t xml:space="preserve"> </w:t>
      </w:r>
      <w:proofErr w:type="spellStart"/>
      <w:r w:rsidRPr="00F613EA">
        <w:rPr>
          <w:sz w:val="22"/>
          <w:szCs w:val="22"/>
          <w:lang w:val="en-US"/>
        </w:rPr>
        <w:t>imidodiphosphates</w:t>
      </w:r>
      <w:proofErr w:type="spellEnd"/>
      <w:r w:rsidRPr="00F613EA">
        <w:rPr>
          <w:sz w:val="22"/>
          <w:szCs w:val="22"/>
          <w:lang w:val="en-US"/>
        </w:rPr>
        <w:t xml:space="preserve"> (</w:t>
      </w:r>
      <w:proofErr w:type="spellStart"/>
      <w:r w:rsidRPr="00F613EA">
        <w:rPr>
          <w:sz w:val="22"/>
          <w:szCs w:val="22"/>
          <w:lang w:val="en-US"/>
        </w:rPr>
        <w:t>iIDP</w:t>
      </w:r>
      <w:proofErr w:type="spellEnd"/>
      <w:r w:rsidRPr="00F613EA">
        <w:rPr>
          <w:sz w:val="22"/>
          <w:szCs w:val="22"/>
          <w:lang w:val="en-US"/>
        </w:rPr>
        <w:t xml:space="preserve">) and </w:t>
      </w:r>
      <w:proofErr w:type="spellStart"/>
      <w:r w:rsidRPr="00F613EA">
        <w:rPr>
          <w:sz w:val="22"/>
          <w:szCs w:val="22"/>
          <w:lang w:val="en-US"/>
        </w:rPr>
        <w:t>imidodiphosphorimidates</w:t>
      </w:r>
      <w:proofErr w:type="spellEnd"/>
      <w:r w:rsidRPr="00F613EA">
        <w:rPr>
          <w:sz w:val="22"/>
          <w:szCs w:val="22"/>
          <w:lang w:val="en-US"/>
        </w:rPr>
        <w:t xml:space="preserve"> (</w:t>
      </w:r>
      <w:proofErr w:type="spellStart"/>
      <w:r w:rsidRPr="00F613EA">
        <w:rPr>
          <w:sz w:val="22"/>
          <w:szCs w:val="22"/>
          <w:lang w:val="en-US"/>
        </w:rPr>
        <w:t>IDPi</w:t>
      </w:r>
      <w:proofErr w:type="spellEnd"/>
      <w:r w:rsidRPr="00F613EA">
        <w:rPr>
          <w:sz w:val="22"/>
          <w:szCs w:val="22"/>
          <w:lang w:val="en-US"/>
        </w:rPr>
        <w:t xml:space="preserve">) display </w:t>
      </w:r>
      <w:proofErr w:type="spellStart"/>
      <w:r w:rsidRPr="00F613EA">
        <w:rPr>
          <w:sz w:val="22"/>
          <w:szCs w:val="22"/>
          <w:lang w:val="en-US"/>
        </w:rPr>
        <w:t>pKa’s</w:t>
      </w:r>
      <w:proofErr w:type="spellEnd"/>
      <w:r w:rsidRPr="00F613EA">
        <w:rPr>
          <w:sz w:val="22"/>
          <w:szCs w:val="22"/>
          <w:lang w:val="en-US"/>
        </w:rPr>
        <w:t xml:space="preserve"> of around 9 and 4.5. With fluorinated substituents, the acidity can be further enhanced reaching a level displayed by common “magic acids” such as </w:t>
      </w:r>
      <w:proofErr w:type="spellStart"/>
      <w:r w:rsidRPr="00F613EA">
        <w:rPr>
          <w:sz w:val="22"/>
          <w:szCs w:val="22"/>
          <w:lang w:val="en-US"/>
        </w:rPr>
        <w:t>triflic</w:t>
      </w:r>
      <w:proofErr w:type="spellEnd"/>
      <w:r w:rsidRPr="00F613EA">
        <w:rPr>
          <w:sz w:val="22"/>
          <w:szCs w:val="22"/>
          <w:lang w:val="en-US"/>
        </w:rPr>
        <w:t xml:space="preserve"> acid and triflimide</w:t>
      </w:r>
      <w:r w:rsidR="00F613EA">
        <w:rPr>
          <w:sz w:val="22"/>
          <w:szCs w:val="22"/>
          <w:lang w:val="en-US"/>
        </w:rPr>
        <w:t xml:space="preserve"> (Figure 1)</w:t>
      </w:r>
      <w:r w:rsidRPr="00F613EA">
        <w:rPr>
          <w:sz w:val="22"/>
          <w:szCs w:val="22"/>
          <w:lang w:val="en-US"/>
        </w:rPr>
        <w:t>.</w:t>
      </w:r>
    </w:p>
    <w:p w:rsidR="00AF40C5" w:rsidRPr="00F613EA" w:rsidRDefault="00AF40C5" w:rsidP="00AF40C5">
      <w:pPr>
        <w:pStyle w:val="p3"/>
        <w:spacing w:before="0" w:beforeAutospacing="0" w:after="0" w:afterAutospacing="0"/>
        <w:jc w:val="both"/>
        <w:rPr>
          <w:rStyle w:val="s2"/>
          <w:sz w:val="22"/>
          <w:szCs w:val="22"/>
          <w:lang w:val="en-US"/>
        </w:rPr>
      </w:pPr>
    </w:p>
    <w:p w:rsidR="00AF40C5" w:rsidRPr="00F613EA" w:rsidRDefault="008516A5" w:rsidP="00AF40C5">
      <w:pPr>
        <w:pStyle w:val="p3"/>
        <w:spacing w:before="0" w:beforeAutospacing="0" w:after="0" w:afterAutospacing="0"/>
        <w:jc w:val="center"/>
        <w:rPr>
          <w:sz w:val="22"/>
          <w:szCs w:val="22"/>
        </w:rPr>
      </w:pPr>
      <w:r w:rsidRPr="00F613EA">
        <w:rPr>
          <w:sz w:val="22"/>
          <w:szCs w:val="22"/>
        </w:rPr>
        <w:object w:dxaOrig="12803" w:dyaOrig="5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98pt" o:ole="">
            <v:imagedata r:id="rId4" o:title=""/>
          </v:shape>
          <o:OLEObject Type="Embed" ProgID="ChemDraw.Document.6.0" ShapeID="_x0000_i1025" DrawAspect="Content" ObjectID="_1784372134" r:id="rId5"/>
        </w:object>
      </w:r>
    </w:p>
    <w:p w:rsidR="00AF40C5" w:rsidRPr="00F613EA" w:rsidRDefault="00AF40C5" w:rsidP="00AF40C5">
      <w:pPr>
        <w:pStyle w:val="p3"/>
        <w:spacing w:before="0" w:beforeAutospacing="0" w:after="0" w:afterAutospacing="0"/>
        <w:jc w:val="both"/>
        <w:rPr>
          <w:sz w:val="22"/>
          <w:szCs w:val="22"/>
        </w:rPr>
      </w:pPr>
    </w:p>
    <w:p w:rsidR="00AF40C5" w:rsidRPr="00F613EA" w:rsidRDefault="00AF40C5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GB"/>
        </w:rPr>
      </w:pPr>
      <w:r w:rsidRPr="00F613EA">
        <w:rPr>
          <w:b/>
          <w:sz w:val="22"/>
          <w:szCs w:val="22"/>
          <w:lang w:val="en-GB"/>
        </w:rPr>
        <w:t xml:space="preserve">Figure </w:t>
      </w:r>
      <w:r w:rsidR="00F613EA" w:rsidRPr="00F613EA">
        <w:rPr>
          <w:b/>
          <w:sz w:val="22"/>
          <w:szCs w:val="22"/>
          <w:lang w:val="en-GB"/>
        </w:rPr>
        <w:t>1</w:t>
      </w:r>
      <w:r w:rsidRPr="00F613EA">
        <w:rPr>
          <w:b/>
          <w:sz w:val="22"/>
          <w:szCs w:val="22"/>
          <w:lang w:val="en-GB"/>
        </w:rPr>
        <w:t>.</w:t>
      </w:r>
      <w:r w:rsidRPr="00F613EA">
        <w:rPr>
          <w:sz w:val="22"/>
          <w:szCs w:val="22"/>
          <w:lang w:val="en-GB"/>
        </w:rPr>
        <w:t xml:space="preserve"> Confined acids cover a broad range of acidity and can be easily fine-tuned. </w:t>
      </w:r>
    </w:p>
    <w:p w:rsidR="00AF40C5" w:rsidRPr="00F613EA" w:rsidRDefault="00AF40C5" w:rsidP="00AF40C5">
      <w:pPr>
        <w:pStyle w:val="p3"/>
        <w:spacing w:before="0" w:beforeAutospacing="0" w:after="0" w:afterAutospacing="0"/>
        <w:jc w:val="both"/>
        <w:rPr>
          <w:sz w:val="22"/>
          <w:szCs w:val="22"/>
          <w:lang w:val="en-GB"/>
        </w:rPr>
      </w:pPr>
    </w:p>
    <w:p w:rsidR="00B90B98" w:rsidRPr="008516A5" w:rsidRDefault="008516A5" w:rsidP="008516A5">
      <w:pPr>
        <w:pStyle w:val="p3"/>
        <w:spacing w:before="0" w:beforeAutospacing="0" w:after="0" w:afterAutospac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With these </w:t>
      </w:r>
      <w:r w:rsidR="00AF40C5" w:rsidRPr="00F613EA">
        <w:rPr>
          <w:sz w:val="22"/>
          <w:szCs w:val="22"/>
          <w:lang w:val="en-GB"/>
        </w:rPr>
        <w:t>three catalyst classes</w:t>
      </w:r>
      <w:r>
        <w:rPr>
          <w:sz w:val="22"/>
          <w:szCs w:val="22"/>
          <w:lang w:val="en-GB"/>
        </w:rPr>
        <w:t xml:space="preserve"> in hand</w:t>
      </w:r>
      <w:r w:rsidR="00AF40C5" w:rsidRPr="00F613EA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and even more acidic catalysts under development, we feel in a good position to tackle important challenges of contemporary selective catalysis, including the activation of unreactive and unbiased, small substrates.</w:t>
      </w:r>
    </w:p>
    <w:sectPr w:rsidR="00B90B98" w:rsidRPr="008516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883D65-0717-4E6D-A18F-62EBAE723E9F}"/>
    <w:docVar w:name="dgnword-eventsink" w:val="1861902569776"/>
  </w:docVars>
  <w:rsids>
    <w:rsidRoot w:val="00AF40C5"/>
    <w:rsid w:val="00250098"/>
    <w:rsid w:val="005D634D"/>
    <w:rsid w:val="008516A5"/>
    <w:rsid w:val="008F4BE6"/>
    <w:rsid w:val="00A51BEB"/>
    <w:rsid w:val="00AF40C5"/>
    <w:rsid w:val="00B90B98"/>
    <w:rsid w:val="00F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8A4ED6-C5D8-40F9-9F09-461CDF32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40C5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3">
    <w:name w:val="p3"/>
    <w:basedOn w:val="Standard"/>
    <w:rsid w:val="00AF40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s2">
    <w:name w:val="s2"/>
    <w:basedOn w:val="Absatz-Standardschriftart"/>
    <w:rsid w:val="00AF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für Kohlenforschung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Ben List</dc:creator>
  <cp:keywords/>
  <dc:description/>
  <cp:lastModifiedBy>Alexandra Kaltsidis</cp:lastModifiedBy>
  <cp:revision>2</cp:revision>
  <dcterms:created xsi:type="dcterms:W3CDTF">2024-08-05T12:09:00Z</dcterms:created>
  <dcterms:modified xsi:type="dcterms:W3CDTF">2024-08-05T12:10:14Z</dcterms:modified>
</cp:coreProperties>
</file>